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C8DD" w14:textId="669574CA" w:rsidR="00034593" w:rsidRDefault="003854A3" w:rsidP="003A432F">
      <w:pPr>
        <w:jc w:val="both"/>
        <w:rPr>
          <w:rFonts w:ascii="Open Sans" w:hAnsi="Open Sans" w:cs="Open Sans"/>
          <w:sz w:val="20"/>
          <w:szCs w:val="20"/>
        </w:rPr>
      </w:pPr>
      <w:r w:rsidRPr="00264E22">
        <w:rPr>
          <w:rFonts w:ascii="Open Sans" w:hAnsi="Open Sans" w:cs="Open Sans"/>
          <w:sz w:val="20"/>
          <w:szCs w:val="20"/>
        </w:rPr>
        <w:t>T</w:t>
      </w:r>
      <w:bookmarkStart w:id="0" w:name="_GoBack"/>
      <w:bookmarkEnd w:id="0"/>
      <w:r w:rsidRPr="00264E22">
        <w:rPr>
          <w:rFonts w:ascii="Open Sans" w:hAnsi="Open Sans" w:cs="Open Sans"/>
          <w:sz w:val="20"/>
          <w:szCs w:val="20"/>
        </w:rPr>
        <w:t xml:space="preserve">his </w:t>
      </w:r>
      <w:r w:rsidR="003A432F" w:rsidRPr="00264E22">
        <w:rPr>
          <w:rFonts w:ascii="Open Sans" w:hAnsi="Open Sans" w:cs="Open Sans"/>
          <w:sz w:val="20"/>
          <w:szCs w:val="20"/>
        </w:rPr>
        <w:t xml:space="preserve">checklist helps UW departments and units inventory </w:t>
      </w:r>
      <w:r w:rsidR="000342CF">
        <w:rPr>
          <w:rFonts w:ascii="Open Sans" w:hAnsi="Open Sans" w:cs="Open Sans"/>
          <w:sz w:val="20"/>
          <w:szCs w:val="20"/>
        </w:rPr>
        <w:t xml:space="preserve">the presence of various </w:t>
      </w:r>
      <w:r w:rsidR="003A432F" w:rsidRPr="00264E22">
        <w:rPr>
          <w:rFonts w:ascii="Open Sans" w:hAnsi="Open Sans" w:cs="Open Sans"/>
          <w:sz w:val="20"/>
          <w:szCs w:val="20"/>
        </w:rPr>
        <w:t xml:space="preserve">terms and conditions in a </w:t>
      </w:r>
      <w:r w:rsidRPr="00264E22">
        <w:rPr>
          <w:rFonts w:ascii="Open Sans" w:hAnsi="Open Sans" w:cs="Open Sans"/>
          <w:sz w:val="20"/>
          <w:szCs w:val="20"/>
        </w:rPr>
        <w:t xml:space="preserve">third-party </w:t>
      </w:r>
      <w:r w:rsidR="003A432F" w:rsidRPr="00264E22">
        <w:rPr>
          <w:rFonts w:ascii="Open Sans" w:hAnsi="Open Sans" w:cs="Open Sans"/>
          <w:sz w:val="20"/>
          <w:szCs w:val="20"/>
        </w:rPr>
        <w:t>controller-</w:t>
      </w:r>
      <w:r w:rsidRPr="00264E22">
        <w:rPr>
          <w:rFonts w:ascii="Open Sans" w:hAnsi="Open Sans" w:cs="Open Sans"/>
          <w:sz w:val="20"/>
          <w:szCs w:val="20"/>
        </w:rPr>
        <w:t>supplied</w:t>
      </w:r>
      <w:r w:rsidR="003A432F" w:rsidRPr="00264E22">
        <w:rPr>
          <w:rFonts w:ascii="Open Sans" w:hAnsi="Open Sans" w:cs="Open Sans"/>
          <w:sz w:val="20"/>
          <w:szCs w:val="20"/>
        </w:rPr>
        <w:t xml:space="preserve"> agreement</w:t>
      </w:r>
      <w:r w:rsidRPr="00264E22">
        <w:rPr>
          <w:rFonts w:ascii="Open Sans" w:hAnsi="Open Sans" w:cs="Open Sans"/>
          <w:sz w:val="20"/>
          <w:szCs w:val="20"/>
        </w:rPr>
        <w:t>. Please note that this checklist is not designed for</w:t>
      </w:r>
      <w:r w:rsidR="00034593">
        <w:rPr>
          <w:rFonts w:ascii="Open Sans" w:hAnsi="Open Sans" w:cs="Open Sans"/>
          <w:sz w:val="20"/>
          <w:szCs w:val="20"/>
        </w:rPr>
        <w:t xml:space="preserve"> evaluating: </w:t>
      </w:r>
    </w:p>
    <w:p w14:paraId="22A41CA6" w14:textId="32EF13A8" w:rsidR="000342CF" w:rsidRDefault="000342CF" w:rsidP="000342CF">
      <w:pPr>
        <w:pStyle w:val="ListParagraph"/>
        <w:numPr>
          <w:ilvl w:val="0"/>
          <w:numId w:val="1"/>
        </w:numPr>
        <w:jc w:val="both"/>
        <w:rPr>
          <w:rFonts w:ascii="Open Sans" w:hAnsi="Open Sans" w:cs="Open Sans"/>
          <w:sz w:val="20"/>
          <w:szCs w:val="20"/>
        </w:rPr>
      </w:pPr>
      <w:r w:rsidRPr="00034593">
        <w:rPr>
          <w:rFonts w:ascii="Open Sans" w:hAnsi="Open Sans" w:cs="Open Sans"/>
          <w:sz w:val="20"/>
          <w:szCs w:val="20"/>
        </w:rPr>
        <w:t xml:space="preserve">the sufficiency of terms and conditions </w:t>
      </w:r>
      <w:r>
        <w:rPr>
          <w:rFonts w:ascii="Open Sans" w:hAnsi="Open Sans" w:cs="Open Sans"/>
          <w:sz w:val="20"/>
          <w:szCs w:val="20"/>
        </w:rPr>
        <w:t xml:space="preserve">when UW is a processor (i.e., whether the precise term in your agreement is legally sufficient or a “good” or “bad” deal); or </w:t>
      </w:r>
    </w:p>
    <w:p w14:paraId="267C76A6" w14:textId="2F9F325D" w:rsidR="00034593" w:rsidRDefault="00034593" w:rsidP="00034593">
      <w:pPr>
        <w:pStyle w:val="ListParagraph"/>
        <w:numPr>
          <w:ilvl w:val="0"/>
          <w:numId w:val="1"/>
        </w:numPr>
        <w:jc w:val="both"/>
        <w:rPr>
          <w:rFonts w:ascii="Open Sans" w:hAnsi="Open Sans" w:cs="Open Sans"/>
          <w:sz w:val="20"/>
          <w:szCs w:val="20"/>
        </w:rPr>
      </w:pPr>
      <w:r w:rsidRPr="00034593">
        <w:rPr>
          <w:rFonts w:ascii="Open Sans" w:hAnsi="Open Sans" w:cs="Open Sans"/>
          <w:sz w:val="20"/>
          <w:szCs w:val="20"/>
        </w:rPr>
        <w:t>terms and conditions when UW is a Controller</w:t>
      </w:r>
      <w:r>
        <w:rPr>
          <w:rFonts w:ascii="Open Sans" w:hAnsi="Open Sans" w:cs="Open Sans"/>
          <w:sz w:val="20"/>
          <w:szCs w:val="20"/>
        </w:rPr>
        <w:t xml:space="preserve"> and the Personal Data Processing Agreement is required</w:t>
      </w:r>
      <w:r w:rsidR="000342CF">
        <w:rPr>
          <w:rFonts w:ascii="Open Sans" w:hAnsi="Open Sans" w:cs="Open Sans"/>
          <w:sz w:val="20"/>
          <w:szCs w:val="20"/>
        </w:rPr>
        <w:t>.</w:t>
      </w:r>
    </w:p>
    <w:p w14:paraId="6184BD66" w14:textId="70CD8385" w:rsidR="00BD6CF5" w:rsidRPr="00034593" w:rsidRDefault="00034593" w:rsidP="00034593">
      <w:pPr>
        <w:jc w:val="both"/>
        <w:rPr>
          <w:rFonts w:ascii="Open Sans" w:hAnsi="Open Sans" w:cs="Open Sans"/>
          <w:sz w:val="20"/>
          <w:szCs w:val="20"/>
        </w:rPr>
      </w:pPr>
      <w:r>
        <w:rPr>
          <w:rFonts w:ascii="Open Sans" w:hAnsi="Open Sans" w:cs="Open Sans"/>
          <w:sz w:val="20"/>
          <w:szCs w:val="20"/>
        </w:rPr>
        <w:t xml:space="preserve">This checklist does not </w:t>
      </w:r>
      <w:r w:rsidR="00BD6CF5" w:rsidRPr="00034593">
        <w:rPr>
          <w:rFonts w:ascii="Open Sans" w:hAnsi="Open Sans" w:cs="Open Sans"/>
          <w:sz w:val="20"/>
          <w:szCs w:val="20"/>
        </w:rPr>
        <w:t>constitute legal advice.</w:t>
      </w:r>
      <w:r w:rsidRPr="00034593">
        <w:rPr>
          <w:rFonts w:ascii="Open Sans" w:hAnsi="Open Sans" w:cs="Open Sans"/>
          <w:sz w:val="20"/>
          <w:szCs w:val="20"/>
        </w:rPr>
        <w:t xml:space="preserve"> </w:t>
      </w:r>
    </w:p>
    <w:p w14:paraId="07071225" w14:textId="05AF53A3" w:rsidR="00BD6CF5" w:rsidRPr="00264E22" w:rsidRDefault="00BD6CF5">
      <w:pPr>
        <w:rPr>
          <w:rFonts w:ascii="Open Sans" w:hAnsi="Open Sans" w:cs="Open Sans"/>
          <w:sz w:val="20"/>
          <w:szCs w:val="20"/>
        </w:rPr>
      </w:pPr>
    </w:p>
    <w:tbl>
      <w:tblPr>
        <w:tblStyle w:val="TableGrid"/>
        <w:tblW w:w="10795" w:type="dxa"/>
        <w:tblLook w:val="04A0" w:firstRow="1" w:lastRow="0" w:firstColumn="1" w:lastColumn="0" w:noHBand="0" w:noVBand="1"/>
      </w:tblPr>
      <w:tblGrid>
        <w:gridCol w:w="6565"/>
        <w:gridCol w:w="1980"/>
        <w:gridCol w:w="2250"/>
      </w:tblGrid>
      <w:tr w:rsidR="00053689" w:rsidRPr="00264E22" w14:paraId="4E77F39F" w14:textId="77777777" w:rsidTr="004F1724">
        <w:tc>
          <w:tcPr>
            <w:tcW w:w="6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006F"/>
          </w:tcPr>
          <w:p w14:paraId="10D97460" w14:textId="479B3D2E" w:rsidR="00053689" w:rsidRPr="00F678CC" w:rsidRDefault="00264E22" w:rsidP="00053689">
            <w:pPr>
              <w:jc w:val="center"/>
              <w:rPr>
                <w:rFonts w:ascii="Open Sans" w:hAnsi="Open Sans" w:cs="Open Sans"/>
                <w:b/>
                <w:color w:val="FFFFFF" w:themeColor="background1"/>
                <w:sz w:val="20"/>
                <w:szCs w:val="20"/>
              </w:rPr>
            </w:pPr>
            <w:r w:rsidRPr="00F678CC">
              <w:rPr>
                <w:rFonts w:ascii="Open Sans" w:hAnsi="Open Sans" w:cs="Open Sans"/>
                <w:b/>
                <w:color w:val="FFFFFF" w:themeColor="background1"/>
                <w:sz w:val="20"/>
                <w:szCs w:val="20"/>
              </w:rPr>
              <w:t>EU GDPR Requirement</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006F"/>
          </w:tcPr>
          <w:p w14:paraId="3CB4EE80" w14:textId="4F05391F" w:rsidR="00053689" w:rsidRPr="00F678CC" w:rsidRDefault="00053689" w:rsidP="00053689">
            <w:pPr>
              <w:jc w:val="center"/>
              <w:rPr>
                <w:rFonts w:ascii="Open Sans" w:hAnsi="Open Sans" w:cs="Open Sans"/>
                <w:b/>
                <w:color w:val="FFFFFF" w:themeColor="background1"/>
                <w:sz w:val="20"/>
                <w:szCs w:val="20"/>
              </w:rPr>
            </w:pPr>
            <w:r w:rsidRPr="00F678CC">
              <w:rPr>
                <w:rFonts w:ascii="Open Sans" w:hAnsi="Open Sans" w:cs="Open Sans"/>
                <w:b/>
                <w:color w:val="FFFFFF" w:themeColor="background1"/>
                <w:sz w:val="20"/>
                <w:szCs w:val="20"/>
              </w:rPr>
              <w:t>Addressed in Agreement?</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006F"/>
          </w:tcPr>
          <w:p w14:paraId="01525448" w14:textId="47EB7606" w:rsidR="00053689" w:rsidRPr="00F678CC" w:rsidRDefault="00053689" w:rsidP="00053689">
            <w:pPr>
              <w:jc w:val="center"/>
              <w:rPr>
                <w:rFonts w:ascii="Open Sans" w:hAnsi="Open Sans" w:cs="Open Sans"/>
                <w:b/>
                <w:color w:val="FFFFFF" w:themeColor="background1"/>
                <w:sz w:val="20"/>
                <w:szCs w:val="20"/>
              </w:rPr>
            </w:pPr>
            <w:r w:rsidRPr="00F678CC">
              <w:rPr>
                <w:rFonts w:ascii="Open Sans" w:hAnsi="Open Sans" w:cs="Open Sans"/>
                <w:b/>
                <w:color w:val="FFFFFF" w:themeColor="background1"/>
                <w:sz w:val="20"/>
                <w:szCs w:val="20"/>
              </w:rPr>
              <w:t>Agreement Citation</w:t>
            </w:r>
          </w:p>
        </w:tc>
      </w:tr>
      <w:tr w:rsidR="00053689" w:rsidRPr="00264E22" w14:paraId="4CF84129" w14:textId="77777777" w:rsidTr="004F1724">
        <w:tc>
          <w:tcPr>
            <w:tcW w:w="10795" w:type="dxa"/>
            <w:gridSpan w:val="3"/>
            <w:tcBorders>
              <w:top w:val="single" w:sz="4" w:space="0" w:color="FFFFFF" w:themeColor="background1"/>
            </w:tcBorders>
            <w:shd w:val="clear" w:color="auto" w:fill="E8D3A2"/>
          </w:tcPr>
          <w:p w14:paraId="43025EB6" w14:textId="14AA319F" w:rsidR="00053689" w:rsidRPr="00F678CC" w:rsidRDefault="00053689" w:rsidP="00F678CC">
            <w:pPr>
              <w:pStyle w:val="ListParagraph"/>
              <w:numPr>
                <w:ilvl w:val="0"/>
                <w:numId w:val="3"/>
              </w:numPr>
              <w:rPr>
                <w:rFonts w:ascii="Open Sans" w:hAnsi="Open Sans" w:cs="Open Sans"/>
                <w:b/>
                <w:color w:val="000000" w:themeColor="text1"/>
                <w:sz w:val="20"/>
                <w:szCs w:val="20"/>
              </w:rPr>
            </w:pPr>
            <w:r w:rsidRPr="00F678CC">
              <w:rPr>
                <w:rFonts w:ascii="Open Sans" w:hAnsi="Open Sans" w:cs="Open Sans"/>
                <w:b/>
                <w:color w:val="33006F"/>
                <w:sz w:val="20"/>
                <w:szCs w:val="20"/>
              </w:rPr>
              <w:t>Details about the processing:</w:t>
            </w:r>
          </w:p>
        </w:tc>
      </w:tr>
      <w:tr w:rsidR="00053689" w:rsidRPr="00264E22" w14:paraId="1F88F47C" w14:textId="77777777" w:rsidTr="004F1724">
        <w:tc>
          <w:tcPr>
            <w:tcW w:w="6565" w:type="dxa"/>
          </w:tcPr>
          <w:p w14:paraId="6AE8A1F3" w14:textId="173B6D78" w:rsidR="00053689" w:rsidRPr="00F678CC" w:rsidRDefault="00053689" w:rsidP="00F678CC">
            <w:pPr>
              <w:pStyle w:val="ListParagraph"/>
              <w:numPr>
                <w:ilvl w:val="0"/>
                <w:numId w:val="2"/>
              </w:numPr>
              <w:rPr>
                <w:rFonts w:ascii="Open Sans" w:hAnsi="Open Sans" w:cs="Open Sans"/>
                <w:sz w:val="20"/>
                <w:szCs w:val="20"/>
              </w:rPr>
            </w:pPr>
            <w:r w:rsidRPr="00F678CC">
              <w:rPr>
                <w:rFonts w:ascii="Open Sans" w:hAnsi="Open Sans" w:cs="Open Sans"/>
                <w:sz w:val="20"/>
                <w:szCs w:val="20"/>
              </w:rPr>
              <w:t>Subject matter of the processing</w:t>
            </w:r>
          </w:p>
        </w:tc>
        <w:tc>
          <w:tcPr>
            <w:tcW w:w="1980" w:type="dxa"/>
          </w:tcPr>
          <w:p w14:paraId="67B912F7" w14:textId="77777777" w:rsidR="00053689" w:rsidRPr="00034593" w:rsidRDefault="00053689" w:rsidP="00BD6CF5">
            <w:pPr>
              <w:rPr>
                <w:rFonts w:ascii="Open Sans" w:hAnsi="Open Sans" w:cs="Open Sans"/>
                <w:sz w:val="20"/>
                <w:szCs w:val="20"/>
              </w:rPr>
            </w:pPr>
          </w:p>
        </w:tc>
        <w:tc>
          <w:tcPr>
            <w:tcW w:w="2250" w:type="dxa"/>
          </w:tcPr>
          <w:p w14:paraId="7999E23B" w14:textId="3683574E" w:rsidR="00053689" w:rsidRPr="00034593" w:rsidRDefault="00053689" w:rsidP="00BD6CF5">
            <w:pPr>
              <w:rPr>
                <w:rFonts w:ascii="Open Sans" w:hAnsi="Open Sans" w:cs="Open Sans"/>
                <w:sz w:val="20"/>
                <w:szCs w:val="20"/>
              </w:rPr>
            </w:pPr>
          </w:p>
        </w:tc>
      </w:tr>
      <w:tr w:rsidR="00053689" w:rsidRPr="00264E22" w14:paraId="29949D62" w14:textId="77777777" w:rsidTr="004F1724">
        <w:tc>
          <w:tcPr>
            <w:tcW w:w="6565" w:type="dxa"/>
          </w:tcPr>
          <w:p w14:paraId="6418070C" w14:textId="5DE35AA6" w:rsidR="00053689" w:rsidRPr="00F678CC" w:rsidRDefault="00053689" w:rsidP="00F678CC">
            <w:pPr>
              <w:pStyle w:val="ListParagraph"/>
              <w:numPr>
                <w:ilvl w:val="0"/>
                <w:numId w:val="2"/>
              </w:numPr>
              <w:rPr>
                <w:rFonts w:ascii="Open Sans" w:hAnsi="Open Sans" w:cs="Open Sans"/>
                <w:sz w:val="20"/>
                <w:szCs w:val="20"/>
              </w:rPr>
            </w:pPr>
            <w:r w:rsidRPr="00F678CC">
              <w:rPr>
                <w:rFonts w:ascii="Open Sans" w:hAnsi="Open Sans" w:cs="Open Sans"/>
                <w:sz w:val="20"/>
                <w:szCs w:val="20"/>
              </w:rPr>
              <w:t>Duration of the processing</w:t>
            </w:r>
          </w:p>
        </w:tc>
        <w:tc>
          <w:tcPr>
            <w:tcW w:w="1980" w:type="dxa"/>
          </w:tcPr>
          <w:p w14:paraId="676172C6" w14:textId="77777777" w:rsidR="00053689" w:rsidRPr="00034593" w:rsidRDefault="00053689" w:rsidP="00BD6CF5">
            <w:pPr>
              <w:rPr>
                <w:rFonts w:ascii="Open Sans" w:hAnsi="Open Sans" w:cs="Open Sans"/>
                <w:sz w:val="20"/>
                <w:szCs w:val="20"/>
              </w:rPr>
            </w:pPr>
          </w:p>
        </w:tc>
        <w:tc>
          <w:tcPr>
            <w:tcW w:w="2250" w:type="dxa"/>
          </w:tcPr>
          <w:p w14:paraId="08D33493" w14:textId="42198072" w:rsidR="00053689" w:rsidRPr="00034593" w:rsidRDefault="00053689" w:rsidP="00BD6CF5">
            <w:pPr>
              <w:rPr>
                <w:rFonts w:ascii="Open Sans" w:hAnsi="Open Sans" w:cs="Open Sans"/>
                <w:sz w:val="20"/>
                <w:szCs w:val="20"/>
              </w:rPr>
            </w:pPr>
          </w:p>
        </w:tc>
      </w:tr>
      <w:tr w:rsidR="00053689" w:rsidRPr="00264E22" w14:paraId="4A312BF6" w14:textId="77777777" w:rsidTr="004F1724">
        <w:tc>
          <w:tcPr>
            <w:tcW w:w="6565" w:type="dxa"/>
          </w:tcPr>
          <w:p w14:paraId="6847B530" w14:textId="76198C23" w:rsidR="00053689" w:rsidRPr="00F678CC" w:rsidRDefault="00053689" w:rsidP="00F678CC">
            <w:pPr>
              <w:pStyle w:val="ListParagraph"/>
              <w:numPr>
                <w:ilvl w:val="0"/>
                <w:numId w:val="2"/>
              </w:numPr>
              <w:rPr>
                <w:rFonts w:ascii="Open Sans" w:hAnsi="Open Sans" w:cs="Open Sans"/>
                <w:sz w:val="20"/>
                <w:szCs w:val="20"/>
              </w:rPr>
            </w:pPr>
            <w:r w:rsidRPr="00F678CC">
              <w:rPr>
                <w:rFonts w:ascii="Open Sans" w:hAnsi="Open Sans" w:cs="Open Sans"/>
                <w:sz w:val="20"/>
                <w:szCs w:val="20"/>
              </w:rPr>
              <w:t>Nature and purpose of the processing</w:t>
            </w:r>
          </w:p>
        </w:tc>
        <w:tc>
          <w:tcPr>
            <w:tcW w:w="1980" w:type="dxa"/>
          </w:tcPr>
          <w:p w14:paraId="75E454C4" w14:textId="77777777" w:rsidR="00053689" w:rsidRPr="00034593" w:rsidRDefault="00053689" w:rsidP="00BD6CF5">
            <w:pPr>
              <w:rPr>
                <w:rFonts w:ascii="Open Sans" w:hAnsi="Open Sans" w:cs="Open Sans"/>
                <w:sz w:val="20"/>
                <w:szCs w:val="20"/>
              </w:rPr>
            </w:pPr>
          </w:p>
        </w:tc>
        <w:tc>
          <w:tcPr>
            <w:tcW w:w="2250" w:type="dxa"/>
          </w:tcPr>
          <w:p w14:paraId="21FEE202" w14:textId="207CFC36" w:rsidR="00053689" w:rsidRPr="00034593" w:rsidRDefault="00053689" w:rsidP="00BD6CF5">
            <w:pPr>
              <w:rPr>
                <w:rFonts w:ascii="Open Sans" w:hAnsi="Open Sans" w:cs="Open Sans"/>
                <w:sz w:val="20"/>
                <w:szCs w:val="20"/>
              </w:rPr>
            </w:pPr>
          </w:p>
        </w:tc>
      </w:tr>
      <w:tr w:rsidR="00053689" w:rsidRPr="00264E22" w14:paraId="261637D8" w14:textId="77777777" w:rsidTr="004F1724">
        <w:tc>
          <w:tcPr>
            <w:tcW w:w="6565" w:type="dxa"/>
          </w:tcPr>
          <w:p w14:paraId="3C1D9EAC" w14:textId="4D2201E4" w:rsidR="00053689" w:rsidRPr="00F678CC" w:rsidRDefault="00053689" w:rsidP="00F678CC">
            <w:pPr>
              <w:pStyle w:val="ListParagraph"/>
              <w:numPr>
                <w:ilvl w:val="0"/>
                <w:numId w:val="2"/>
              </w:numPr>
              <w:rPr>
                <w:rFonts w:ascii="Open Sans" w:hAnsi="Open Sans" w:cs="Open Sans"/>
                <w:sz w:val="20"/>
                <w:szCs w:val="20"/>
              </w:rPr>
            </w:pPr>
            <w:r w:rsidRPr="00F678CC">
              <w:rPr>
                <w:rFonts w:ascii="Open Sans" w:hAnsi="Open Sans" w:cs="Open Sans"/>
                <w:sz w:val="20"/>
                <w:szCs w:val="20"/>
              </w:rPr>
              <w:t>Types of personal data to be processed</w:t>
            </w:r>
          </w:p>
        </w:tc>
        <w:tc>
          <w:tcPr>
            <w:tcW w:w="1980" w:type="dxa"/>
          </w:tcPr>
          <w:p w14:paraId="12CAD42F" w14:textId="77777777" w:rsidR="00053689" w:rsidRPr="00034593" w:rsidRDefault="00053689" w:rsidP="00BD6CF5">
            <w:pPr>
              <w:rPr>
                <w:rFonts w:ascii="Open Sans" w:hAnsi="Open Sans" w:cs="Open Sans"/>
                <w:sz w:val="20"/>
                <w:szCs w:val="20"/>
              </w:rPr>
            </w:pPr>
          </w:p>
        </w:tc>
        <w:tc>
          <w:tcPr>
            <w:tcW w:w="2250" w:type="dxa"/>
          </w:tcPr>
          <w:p w14:paraId="575D01AD" w14:textId="5394E966" w:rsidR="00053689" w:rsidRPr="00034593" w:rsidRDefault="00053689" w:rsidP="00BD6CF5">
            <w:pPr>
              <w:rPr>
                <w:rFonts w:ascii="Open Sans" w:hAnsi="Open Sans" w:cs="Open Sans"/>
                <w:sz w:val="20"/>
                <w:szCs w:val="20"/>
              </w:rPr>
            </w:pPr>
          </w:p>
        </w:tc>
      </w:tr>
      <w:tr w:rsidR="00053689" w:rsidRPr="00264E22" w14:paraId="67248CC6" w14:textId="77777777" w:rsidTr="004F1724">
        <w:tc>
          <w:tcPr>
            <w:tcW w:w="6565" w:type="dxa"/>
          </w:tcPr>
          <w:p w14:paraId="01BDB496" w14:textId="2CAF6650" w:rsidR="00053689" w:rsidRPr="00F678CC" w:rsidRDefault="00053689" w:rsidP="00F678CC">
            <w:pPr>
              <w:pStyle w:val="ListParagraph"/>
              <w:numPr>
                <w:ilvl w:val="0"/>
                <w:numId w:val="2"/>
              </w:numPr>
              <w:rPr>
                <w:rFonts w:ascii="Open Sans" w:hAnsi="Open Sans" w:cs="Open Sans"/>
                <w:sz w:val="20"/>
                <w:szCs w:val="20"/>
              </w:rPr>
            </w:pPr>
            <w:r w:rsidRPr="00F678CC">
              <w:rPr>
                <w:rFonts w:ascii="Open Sans" w:hAnsi="Open Sans" w:cs="Open Sans"/>
                <w:sz w:val="20"/>
                <w:szCs w:val="20"/>
              </w:rPr>
              <w:t>Categories of data subjects</w:t>
            </w:r>
          </w:p>
        </w:tc>
        <w:tc>
          <w:tcPr>
            <w:tcW w:w="1980" w:type="dxa"/>
          </w:tcPr>
          <w:p w14:paraId="0E9666BF" w14:textId="77777777" w:rsidR="00053689" w:rsidRPr="00034593" w:rsidRDefault="00053689" w:rsidP="00BD6CF5">
            <w:pPr>
              <w:rPr>
                <w:rFonts w:ascii="Open Sans" w:hAnsi="Open Sans" w:cs="Open Sans"/>
                <w:sz w:val="20"/>
                <w:szCs w:val="20"/>
              </w:rPr>
            </w:pPr>
          </w:p>
        </w:tc>
        <w:tc>
          <w:tcPr>
            <w:tcW w:w="2250" w:type="dxa"/>
          </w:tcPr>
          <w:p w14:paraId="65C58FA5" w14:textId="0A3AD8A8" w:rsidR="00053689" w:rsidRPr="00034593" w:rsidRDefault="00053689" w:rsidP="00BD6CF5">
            <w:pPr>
              <w:rPr>
                <w:rFonts w:ascii="Open Sans" w:hAnsi="Open Sans" w:cs="Open Sans"/>
                <w:sz w:val="20"/>
                <w:szCs w:val="20"/>
              </w:rPr>
            </w:pPr>
          </w:p>
        </w:tc>
      </w:tr>
      <w:tr w:rsidR="00053689" w:rsidRPr="00264E22" w14:paraId="65808EF7" w14:textId="77777777" w:rsidTr="004F1724">
        <w:tc>
          <w:tcPr>
            <w:tcW w:w="10795" w:type="dxa"/>
            <w:gridSpan w:val="3"/>
            <w:shd w:val="clear" w:color="auto" w:fill="E8D3A2"/>
          </w:tcPr>
          <w:p w14:paraId="5C5C8C55" w14:textId="51E1B181" w:rsidR="00053689" w:rsidRPr="00F678CC" w:rsidRDefault="00053689" w:rsidP="00F678CC">
            <w:pPr>
              <w:pStyle w:val="ListParagraph"/>
              <w:numPr>
                <w:ilvl w:val="0"/>
                <w:numId w:val="3"/>
              </w:numPr>
              <w:rPr>
                <w:rFonts w:ascii="Open Sans" w:hAnsi="Open Sans" w:cs="Open Sans"/>
                <w:color w:val="000000" w:themeColor="text1"/>
                <w:sz w:val="20"/>
                <w:szCs w:val="20"/>
              </w:rPr>
            </w:pPr>
            <w:r w:rsidRPr="00F678CC">
              <w:rPr>
                <w:rFonts w:ascii="Open Sans" w:hAnsi="Open Sans" w:cs="Open Sans"/>
                <w:b/>
                <w:color w:val="33006F"/>
                <w:sz w:val="20"/>
                <w:szCs w:val="20"/>
              </w:rPr>
              <w:t>Terms and conditions establishing that UW will:</w:t>
            </w:r>
          </w:p>
        </w:tc>
      </w:tr>
      <w:tr w:rsidR="00053689" w:rsidRPr="00264E22" w14:paraId="7930B0F2" w14:textId="77777777" w:rsidTr="004F1724">
        <w:tc>
          <w:tcPr>
            <w:tcW w:w="6565" w:type="dxa"/>
          </w:tcPr>
          <w:p w14:paraId="345955A3" w14:textId="5FF4E6C6"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Only act on the controller’s documented instructions (unless otherwise required by law)</w:t>
            </w:r>
          </w:p>
        </w:tc>
        <w:tc>
          <w:tcPr>
            <w:tcW w:w="1980" w:type="dxa"/>
          </w:tcPr>
          <w:p w14:paraId="2D5BEA4A" w14:textId="77777777" w:rsidR="00053689" w:rsidRPr="00034593" w:rsidRDefault="00053689" w:rsidP="00BD6CF5">
            <w:pPr>
              <w:rPr>
                <w:rFonts w:ascii="Open Sans" w:hAnsi="Open Sans" w:cs="Open Sans"/>
                <w:sz w:val="20"/>
                <w:szCs w:val="20"/>
              </w:rPr>
            </w:pPr>
          </w:p>
        </w:tc>
        <w:tc>
          <w:tcPr>
            <w:tcW w:w="2250" w:type="dxa"/>
          </w:tcPr>
          <w:p w14:paraId="6237291A" w14:textId="2DCD0595" w:rsidR="00053689" w:rsidRPr="00034593" w:rsidRDefault="00053689" w:rsidP="00BD6CF5">
            <w:pPr>
              <w:rPr>
                <w:rFonts w:ascii="Open Sans" w:hAnsi="Open Sans" w:cs="Open Sans"/>
                <w:sz w:val="20"/>
                <w:szCs w:val="20"/>
              </w:rPr>
            </w:pPr>
          </w:p>
        </w:tc>
      </w:tr>
      <w:tr w:rsidR="00053689" w:rsidRPr="00264E22" w14:paraId="497623FA" w14:textId="77777777" w:rsidTr="004F1724">
        <w:tc>
          <w:tcPr>
            <w:tcW w:w="6565" w:type="dxa"/>
          </w:tcPr>
          <w:p w14:paraId="36084B2A" w14:textId="5146205B"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Only transfer personal data to a third country or international organization upon written instructions from the controller</w:t>
            </w:r>
          </w:p>
        </w:tc>
        <w:tc>
          <w:tcPr>
            <w:tcW w:w="1980" w:type="dxa"/>
          </w:tcPr>
          <w:p w14:paraId="0D6AABC6" w14:textId="77777777" w:rsidR="00053689" w:rsidRPr="00034593" w:rsidRDefault="00053689" w:rsidP="00BD6CF5">
            <w:pPr>
              <w:rPr>
                <w:rFonts w:ascii="Open Sans" w:hAnsi="Open Sans" w:cs="Open Sans"/>
                <w:sz w:val="20"/>
                <w:szCs w:val="20"/>
              </w:rPr>
            </w:pPr>
          </w:p>
        </w:tc>
        <w:tc>
          <w:tcPr>
            <w:tcW w:w="2250" w:type="dxa"/>
          </w:tcPr>
          <w:p w14:paraId="7738648B" w14:textId="3A37E576" w:rsidR="00053689" w:rsidRPr="00034593" w:rsidRDefault="00053689" w:rsidP="00BD6CF5">
            <w:pPr>
              <w:rPr>
                <w:rFonts w:ascii="Open Sans" w:hAnsi="Open Sans" w:cs="Open Sans"/>
                <w:sz w:val="20"/>
                <w:szCs w:val="20"/>
              </w:rPr>
            </w:pPr>
          </w:p>
        </w:tc>
      </w:tr>
      <w:tr w:rsidR="00053689" w:rsidRPr="00264E22" w14:paraId="71257F7B" w14:textId="77777777" w:rsidTr="004F1724">
        <w:tc>
          <w:tcPr>
            <w:tcW w:w="6565" w:type="dxa"/>
          </w:tcPr>
          <w:p w14:paraId="35092253" w14:textId="5D712883"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 xml:space="preserve">Ensure that the individuals who will engage in processing are </w:t>
            </w:r>
            <w:r w:rsidR="005573CE" w:rsidRPr="009C41E4">
              <w:rPr>
                <w:rFonts w:ascii="Open Sans" w:hAnsi="Open Sans" w:cs="Open Sans"/>
                <w:sz w:val="20"/>
                <w:szCs w:val="20"/>
              </w:rPr>
              <w:t>committed to confidentiality</w:t>
            </w:r>
          </w:p>
        </w:tc>
        <w:tc>
          <w:tcPr>
            <w:tcW w:w="1980" w:type="dxa"/>
          </w:tcPr>
          <w:p w14:paraId="219D0D53" w14:textId="77777777" w:rsidR="00053689" w:rsidRPr="00034593" w:rsidRDefault="00053689" w:rsidP="00BD6CF5">
            <w:pPr>
              <w:rPr>
                <w:rFonts w:ascii="Open Sans" w:hAnsi="Open Sans" w:cs="Open Sans"/>
                <w:sz w:val="20"/>
                <w:szCs w:val="20"/>
              </w:rPr>
            </w:pPr>
          </w:p>
        </w:tc>
        <w:tc>
          <w:tcPr>
            <w:tcW w:w="2250" w:type="dxa"/>
          </w:tcPr>
          <w:p w14:paraId="3A768DAA" w14:textId="504C7E7B" w:rsidR="00053689" w:rsidRPr="00034593" w:rsidRDefault="00053689" w:rsidP="00BD6CF5">
            <w:pPr>
              <w:rPr>
                <w:rFonts w:ascii="Open Sans" w:hAnsi="Open Sans" w:cs="Open Sans"/>
                <w:sz w:val="20"/>
                <w:szCs w:val="20"/>
              </w:rPr>
            </w:pPr>
          </w:p>
        </w:tc>
      </w:tr>
      <w:tr w:rsidR="00053689" w:rsidRPr="00264E22" w14:paraId="1EC20E3A" w14:textId="77777777" w:rsidTr="004F1724">
        <w:tc>
          <w:tcPr>
            <w:tcW w:w="6565" w:type="dxa"/>
          </w:tcPr>
          <w:p w14:paraId="2EB38EFA" w14:textId="592C0B85"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Take appropriate measures to ensure the technical, physical, and administrative security of personal data to be processed</w:t>
            </w:r>
          </w:p>
        </w:tc>
        <w:tc>
          <w:tcPr>
            <w:tcW w:w="1980" w:type="dxa"/>
          </w:tcPr>
          <w:p w14:paraId="3D7143D6" w14:textId="77777777" w:rsidR="00053689" w:rsidRPr="00034593" w:rsidRDefault="00053689" w:rsidP="00BD6CF5">
            <w:pPr>
              <w:rPr>
                <w:rFonts w:ascii="Open Sans" w:hAnsi="Open Sans" w:cs="Open Sans"/>
                <w:sz w:val="20"/>
                <w:szCs w:val="20"/>
              </w:rPr>
            </w:pPr>
          </w:p>
        </w:tc>
        <w:tc>
          <w:tcPr>
            <w:tcW w:w="2250" w:type="dxa"/>
          </w:tcPr>
          <w:p w14:paraId="3980D6ED" w14:textId="2114FE6C" w:rsidR="00053689" w:rsidRPr="00034593" w:rsidRDefault="00053689" w:rsidP="00BD6CF5">
            <w:pPr>
              <w:rPr>
                <w:rFonts w:ascii="Open Sans" w:hAnsi="Open Sans" w:cs="Open Sans"/>
                <w:sz w:val="20"/>
                <w:szCs w:val="20"/>
              </w:rPr>
            </w:pPr>
          </w:p>
        </w:tc>
      </w:tr>
      <w:tr w:rsidR="00053689" w:rsidRPr="00264E22" w14:paraId="0F9D1E30" w14:textId="77777777" w:rsidTr="004F1724">
        <w:tc>
          <w:tcPr>
            <w:tcW w:w="6565" w:type="dxa"/>
          </w:tcPr>
          <w:p w14:paraId="010DF230" w14:textId="5BB7D0F1"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Only engage a sub</w:t>
            </w:r>
            <w:r w:rsidR="00F678CC" w:rsidRPr="009C41E4">
              <w:rPr>
                <w:rFonts w:ascii="Open Sans" w:hAnsi="Open Sans" w:cs="Open Sans"/>
                <w:sz w:val="20"/>
                <w:szCs w:val="20"/>
              </w:rPr>
              <w:t>-</w:t>
            </w:r>
            <w:r w:rsidRPr="009C41E4">
              <w:rPr>
                <w:rFonts w:ascii="Open Sans" w:hAnsi="Open Sans" w:cs="Open Sans"/>
                <w:sz w:val="20"/>
                <w:szCs w:val="20"/>
              </w:rPr>
              <w:t xml:space="preserve">processor with the controller’s prior approval and with </w:t>
            </w:r>
            <w:r w:rsidR="005573CE" w:rsidRPr="009C41E4">
              <w:rPr>
                <w:rFonts w:ascii="Open Sans" w:hAnsi="Open Sans" w:cs="Open Sans"/>
                <w:sz w:val="20"/>
                <w:szCs w:val="20"/>
              </w:rPr>
              <w:t xml:space="preserve">the same data protection obligations as </w:t>
            </w:r>
            <w:r w:rsidRPr="009C41E4">
              <w:rPr>
                <w:rFonts w:ascii="Open Sans" w:hAnsi="Open Sans" w:cs="Open Sans"/>
                <w:sz w:val="20"/>
                <w:szCs w:val="20"/>
              </w:rPr>
              <w:t>those that appear in the agreement between UW and the controller</w:t>
            </w:r>
            <w:r w:rsidR="005573CE" w:rsidRPr="009C41E4">
              <w:rPr>
                <w:rFonts w:ascii="Open Sans" w:hAnsi="Open Sans" w:cs="Open Sans"/>
                <w:sz w:val="20"/>
                <w:szCs w:val="20"/>
              </w:rPr>
              <w:t>, including, to the extent allowed by law, the processor’s liability to the controller for the performance of the sub-processor’s obligations</w:t>
            </w:r>
          </w:p>
        </w:tc>
        <w:tc>
          <w:tcPr>
            <w:tcW w:w="1980" w:type="dxa"/>
          </w:tcPr>
          <w:p w14:paraId="7C179E30" w14:textId="77777777" w:rsidR="00053689" w:rsidRPr="00034593" w:rsidRDefault="00053689" w:rsidP="00BD6CF5">
            <w:pPr>
              <w:rPr>
                <w:rFonts w:ascii="Open Sans" w:hAnsi="Open Sans" w:cs="Open Sans"/>
                <w:sz w:val="20"/>
                <w:szCs w:val="20"/>
              </w:rPr>
            </w:pPr>
          </w:p>
        </w:tc>
        <w:tc>
          <w:tcPr>
            <w:tcW w:w="2250" w:type="dxa"/>
          </w:tcPr>
          <w:p w14:paraId="0F10B930" w14:textId="3D4430F9" w:rsidR="00053689" w:rsidRPr="00034593" w:rsidRDefault="00053689" w:rsidP="00BD6CF5">
            <w:pPr>
              <w:rPr>
                <w:rFonts w:ascii="Open Sans" w:hAnsi="Open Sans" w:cs="Open Sans"/>
                <w:sz w:val="20"/>
                <w:szCs w:val="20"/>
              </w:rPr>
            </w:pPr>
          </w:p>
        </w:tc>
      </w:tr>
      <w:tr w:rsidR="00053689" w:rsidRPr="00264E22" w14:paraId="77E112D1" w14:textId="77777777" w:rsidTr="004F1724">
        <w:tc>
          <w:tcPr>
            <w:tcW w:w="6565" w:type="dxa"/>
          </w:tcPr>
          <w:p w14:paraId="7A42D726" w14:textId="569312A5"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As appropriate given the nature of the processing and the information available</w:t>
            </w:r>
            <w:r w:rsidR="005573CE" w:rsidRPr="009C41E4">
              <w:rPr>
                <w:rFonts w:ascii="Open Sans" w:hAnsi="Open Sans" w:cs="Open Sans"/>
                <w:sz w:val="20"/>
                <w:szCs w:val="20"/>
              </w:rPr>
              <w:t xml:space="preserve"> to the UW</w:t>
            </w:r>
            <w:r w:rsidRPr="009C41E4">
              <w:rPr>
                <w:rFonts w:ascii="Open Sans" w:hAnsi="Open Sans" w:cs="Open Sans"/>
                <w:sz w:val="20"/>
                <w:szCs w:val="20"/>
              </w:rPr>
              <w:t xml:space="preserve">, assist the controller in meeting its EU GDPR obligations relating to security, data breaches, data protection impact assessments, and prior consultations with supervisory authorities </w:t>
            </w:r>
          </w:p>
        </w:tc>
        <w:tc>
          <w:tcPr>
            <w:tcW w:w="1980" w:type="dxa"/>
          </w:tcPr>
          <w:p w14:paraId="2489FBE4" w14:textId="77777777" w:rsidR="00053689" w:rsidRPr="00034593" w:rsidRDefault="00053689" w:rsidP="00BD6CF5">
            <w:pPr>
              <w:rPr>
                <w:rFonts w:ascii="Open Sans" w:hAnsi="Open Sans" w:cs="Open Sans"/>
                <w:sz w:val="20"/>
                <w:szCs w:val="20"/>
              </w:rPr>
            </w:pPr>
          </w:p>
        </w:tc>
        <w:tc>
          <w:tcPr>
            <w:tcW w:w="2250" w:type="dxa"/>
          </w:tcPr>
          <w:p w14:paraId="7144CFB4" w14:textId="7278EF87" w:rsidR="00053689" w:rsidRPr="00034593" w:rsidRDefault="00053689" w:rsidP="00BD6CF5">
            <w:pPr>
              <w:rPr>
                <w:rFonts w:ascii="Open Sans" w:hAnsi="Open Sans" w:cs="Open Sans"/>
                <w:sz w:val="20"/>
                <w:szCs w:val="20"/>
              </w:rPr>
            </w:pPr>
          </w:p>
        </w:tc>
      </w:tr>
      <w:tr w:rsidR="00053689" w:rsidRPr="00264E22" w14:paraId="5D651D8E" w14:textId="77777777" w:rsidTr="004F1724">
        <w:tc>
          <w:tcPr>
            <w:tcW w:w="6565" w:type="dxa"/>
          </w:tcPr>
          <w:p w14:paraId="796F5E93" w14:textId="337F949B" w:rsidR="00053689" w:rsidRPr="009C41E4" w:rsidRDefault="005573CE"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At the controller’s choice, d</w:t>
            </w:r>
            <w:r w:rsidR="00053689" w:rsidRPr="009C41E4">
              <w:rPr>
                <w:rFonts w:ascii="Open Sans" w:hAnsi="Open Sans" w:cs="Open Sans"/>
                <w:sz w:val="20"/>
                <w:szCs w:val="20"/>
              </w:rPr>
              <w:t>elete or return all personal data to the controller at the end of the processing and also delete any existing copies of personal data in UW’s possession unless otherwise required by law (i.e., records retention obligations)</w:t>
            </w:r>
          </w:p>
        </w:tc>
        <w:tc>
          <w:tcPr>
            <w:tcW w:w="1980" w:type="dxa"/>
          </w:tcPr>
          <w:p w14:paraId="4561A7DE" w14:textId="77777777" w:rsidR="00053689" w:rsidRPr="00034593" w:rsidRDefault="00053689" w:rsidP="00BD6CF5">
            <w:pPr>
              <w:rPr>
                <w:rFonts w:ascii="Open Sans" w:hAnsi="Open Sans" w:cs="Open Sans"/>
                <w:sz w:val="20"/>
                <w:szCs w:val="20"/>
              </w:rPr>
            </w:pPr>
          </w:p>
        </w:tc>
        <w:tc>
          <w:tcPr>
            <w:tcW w:w="2250" w:type="dxa"/>
          </w:tcPr>
          <w:p w14:paraId="408C31F3" w14:textId="5C911864" w:rsidR="00053689" w:rsidRPr="00034593" w:rsidRDefault="00053689" w:rsidP="00BD6CF5">
            <w:pPr>
              <w:rPr>
                <w:rFonts w:ascii="Open Sans" w:hAnsi="Open Sans" w:cs="Open Sans"/>
                <w:sz w:val="20"/>
                <w:szCs w:val="20"/>
              </w:rPr>
            </w:pPr>
          </w:p>
        </w:tc>
      </w:tr>
      <w:tr w:rsidR="00053689" w:rsidRPr="00264E22" w14:paraId="2172812A" w14:textId="77777777" w:rsidTr="004F1724">
        <w:tc>
          <w:tcPr>
            <w:tcW w:w="6565" w:type="dxa"/>
          </w:tcPr>
          <w:p w14:paraId="52B6DABB" w14:textId="3199A032"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 xml:space="preserve">Provide the controller with whatever information it </w:t>
            </w:r>
            <w:r w:rsidR="000342CF" w:rsidRPr="009C41E4">
              <w:rPr>
                <w:rFonts w:ascii="Open Sans" w:hAnsi="Open Sans" w:cs="Open Sans"/>
                <w:sz w:val="20"/>
                <w:szCs w:val="20"/>
              </w:rPr>
              <w:t xml:space="preserve">reasonably </w:t>
            </w:r>
            <w:r w:rsidRPr="009C41E4">
              <w:rPr>
                <w:rFonts w:ascii="Open Sans" w:hAnsi="Open Sans" w:cs="Open Sans"/>
                <w:sz w:val="20"/>
                <w:szCs w:val="20"/>
              </w:rPr>
              <w:t>needs to ensure both parties are meeting their EU GDPR obligations</w:t>
            </w:r>
            <w:r w:rsidR="005573CE" w:rsidRPr="009C41E4">
              <w:rPr>
                <w:rFonts w:ascii="Open Sans" w:hAnsi="Open Sans" w:cs="Open Sans"/>
                <w:sz w:val="20"/>
                <w:szCs w:val="20"/>
              </w:rPr>
              <w:t xml:space="preserve"> or to contribute to an audit or inspection conducted by the controller or another regulator mandated by the controller</w:t>
            </w:r>
          </w:p>
        </w:tc>
        <w:tc>
          <w:tcPr>
            <w:tcW w:w="1980" w:type="dxa"/>
          </w:tcPr>
          <w:p w14:paraId="498D3C72" w14:textId="77777777" w:rsidR="00053689" w:rsidRPr="00034593" w:rsidRDefault="00053689" w:rsidP="00BD6CF5">
            <w:pPr>
              <w:rPr>
                <w:rFonts w:ascii="Open Sans" w:hAnsi="Open Sans" w:cs="Open Sans"/>
                <w:sz w:val="20"/>
                <w:szCs w:val="20"/>
              </w:rPr>
            </w:pPr>
          </w:p>
        </w:tc>
        <w:tc>
          <w:tcPr>
            <w:tcW w:w="2250" w:type="dxa"/>
          </w:tcPr>
          <w:p w14:paraId="4BF2173E" w14:textId="04D70FFE" w:rsidR="00053689" w:rsidRPr="00034593" w:rsidRDefault="00053689" w:rsidP="00BD6CF5">
            <w:pPr>
              <w:rPr>
                <w:rFonts w:ascii="Open Sans" w:hAnsi="Open Sans" w:cs="Open Sans"/>
                <w:sz w:val="20"/>
                <w:szCs w:val="20"/>
              </w:rPr>
            </w:pPr>
          </w:p>
        </w:tc>
      </w:tr>
      <w:tr w:rsidR="00053689" w:rsidRPr="00264E22" w14:paraId="61B06FDB" w14:textId="77777777" w:rsidTr="004F1724">
        <w:tc>
          <w:tcPr>
            <w:tcW w:w="6565" w:type="dxa"/>
          </w:tcPr>
          <w:p w14:paraId="15B8E549" w14:textId="194DEDFE" w:rsidR="00053689" w:rsidRPr="009C41E4" w:rsidRDefault="00053689" w:rsidP="00F678CC">
            <w:pPr>
              <w:pStyle w:val="ListParagraph"/>
              <w:numPr>
                <w:ilvl w:val="0"/>
                <w:numId w:val="4"/>
              </w:numPr>
              <w:rPr>
                <w:rFonts w:ascii="Open Sans" w:hAnsi="Open Sans" w:cs="Open Sans"/>
                <w:sz w:val="20"/>
                <w:szCs w:val="20"/>
              </w:rPr>
            </w:pPr>
            <w:r w:rsidRPr="009C41E4">
              <w:rPr>
                <w:rFonts w:ascii="Open Sans" w:hAnsi="Open Sans" w:cs="Open Sans"/>
                <w:sz w:val="20"/>
                <w:szCs w:val="20"/>
              </w:rPr>
              <w:t>Immediately notify the controller if it believes an instruction violates EU GDPR</w:t>
            </w:r>
          </w:p>
        </w:tc>
        <w:tc>
          <w:tcPr>
            <w:tcW w:w="1980" w:type="dxa"/>
          </w:tcPr>
          <w:p w14:paraId="2D47B951" w14:textId="77777777" w:rsidR="00053689" w:rsidRPr="00034593" w:rsidRDefault="00053689" w:rsidP="00BD6CF5">
            <w:pPr>
              <w:rPr>
                <w:rFonts w:ascii="Open Sans" w:hAnsi="Open Sans" w:cs="Open Sans"/>
                <w:sz w:val="20"/>
                <w:szCs w:val="20"/>
              </w:rPr>
            </w:pPr>
          </w:p>
        </w:tc>
        <w:tc>
          <w:tcPr>
            <w:tcW w:w="2250" w:type="dxa"/>
          </w:tcPr>
          <w:p w14:paraId="7140E57A" w14:textId="4A54AB98" w:rsidR="00053689" w:rsidRPr="00034593" w:rsidRDefault="00053689" w:rsidP="00BD6CF5">
            <w:pPr>
              <w:rPr>
                <w:rFonts w:ascii="Open Sans" w:hAnsi="Open Sans" w:cs="Open Sans"/>
                <w:sz w:val="20"/>
                <w:szCs w:val="20"/>
              </w:rPr>
            </w:pPr>
          </w:p>
        </w:tc>
      </w:tr>
    </w:tbl>
    <w:p w14:paraId="32284C43" w14:textId="77777777" w:rsidR="00BD6CF5" w:rsidRPr="00264E22" w:rsidRDefault="00BD6CF5">
      <w:pPr>
        <w:rPr>
          <w:rFonts w:ascii="Open Sans" w:hAnsi="Open Sans" w:cs="Open Sans"/>
          <w:sz w:val="20"/>
          <w:szCs w:val="20"/>
        </w:rPr>
      </w:pPr>
    </w:p>
    <w:sectPr w:rsidR="00BD6CF5" w:rsidRPr="00264E22" w:rsidSect="00690CA9">
      <w:headerReference w:type="default" r:id="rId10"/>
      <w:foot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CBB2" w14:textId="77777777" w:rsidR="00F9470C" w:rsidRDefault="00F9470C" w:rsidP="00BD6CF5">
      <w:r>
        <w:separator/>
      </w:r>
    </w:p>
  </w:endnote>
  <w:endnote w:type="continuationSeparator" w:id="0">
    <w:p w14:paraId="201BBA20" w14:textId="77777777" w:rsidR="00F9470C" w:rsidRDefault="00F9470C"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557B" w14:textId="097E6DFC" w:rsidR="00F678CC" w:rsidRPr="00F678CC" w:rsidRDefault="00F678CC">
    <w:pPr>
      <w:pStyle w:val="Footer"/>
      <w:rPr>
        <w:sz w:val="20"/>
        <w:szCs w:val="20"/>
      </w:rPr>
    </w:pPr>
    <w:r w:rsidRPr="00F678CC">
      <w:rPr>
        <w:sz w:val="20"/>
        <w:szCs w:val="20"/>
      </w:rPr>
      <w:t>Version</w:t>
    </w:r>
    <w:r w:rsidR="00E52B18">
      <w:rPr>
        <w:sz w:val="20"/>
        <w:szCs w:val="20"/>
      </w:rPr>
      <w:t xml:space="preserve"> November 22</w:t>
    </w:r>
    <w:r w:rsidRPr="00F678CC">
      <w:rPr>
        <w:sz w:val="20"/>
        <w:szCs w:val="20"/>
      </w:rPr>
      <w:t>, 2019</w:t>
    </w:r>
    <w:r w:rsidRPr="00F678CC">
      <w:rPr>
        <w:sz w:val="20"/>
        <w:szCs w:val="20"/>
      </w:rPr>
      <w:ptab w:relativeTo="margin" w:alignment="center" w:leader="none"/>
    </w:r>
    <w:r w:rsidRPr="00F678CC">
      <w:rPr>
        <w:sz w:val="20"/>
        <w:szCs w:val="20"/>
      </w:rPr>
      <w:ptab w:relativeTo="margin" w:alignment="right" w:leader="none"/>
    </w:r>
    <w:r w:rsidRPr="00F678CC">
      <w:rPr>
        <w:sz w:val="20"/>
        <w:szCs w:val="20"/>
      </w:rPr>
      <w:t xml:space="preserve">Page </w:t>
    </w:r>
    <w:r w:rsidRPr="00F678CC">
      <w:rPr>
        <w:sz w:val="20"/>
        <w:szCs w:val="20"/>
      </w:rPr>
      <w:fldChar w:fldCharType="begin"/>
    </w:r>
    <w:r w:rsidRPr="00F678CC">
      <w:rPr>
        <w:sz w:val="20"/>
        <w:szCs w:val="20"/>
      </w:rPr>
      <w:instrText xml:space="preserve"> PAGE  \* Arabic  \* MERGEFORMAT </w:instrText>
    </w:r>
    <w:r w:rsidRPr="00F678CC">
      <w:rPr>
        <w:sz w:val="20"/>
        <w:szCs w:val="20"/>
      </w:rPr>
      <w:fldChar w:fldCharType="separate"/>
    </w:r>
    <w:r w:rsidRPr="00F678CC">
      <w:rPr>
        <w:sz w:val="20"/>
        <w:szCs w:val="20"/>
      </w:rPr>
      <w:t>1</w:t>
    </w:r>
    <w:r w:rsidRPr="00F678CC">
      <w:rPr>
        <w:sz w:val="20"/>
        <w:szCs w:val="20"/>
      </w:rPr>
      <w:fldChar w:fldCharType="end"/>
    </w:r>
    <w:r w:rsidRPr="00F678CC">
      <w:rPr>
        <w:sz w:val="20"/>
        <w:szCs w:val="20"/>
      </w:rPr>
      <w:t xml:space="preserve"> of </w:t>
    </w:r>
    <w:r w:rsidRPr="00F678CC">
      <w:rPr>
        <w:sz w:val="20"/>
        <w:szCs w:val="20"/>
      </w:rPr>
      <w:fldChar w:fldCharType="begin"/>
    </w:r>
    <w:r w:rsidRPr="00F678CC">
      <w:rPr>
        <w:sz w:val="20"/>
        <w:szCs w:val="20"/>
      </w:rPr>
      <w:instrText xml:space="preserve"> NUMPAGES  \* Arabic  \* MERGEFORMAT </w:instrText>
    </w:r>
    <w:r w:rsidRPr="00F678CC">
      <w:rPr>
        <w:sz w:val="20"/>
        <w:szCs w:val="20"/>
      </w:rPr>
      <w:fldChar w:fldCharType="separate"/>
    </w:r>
    <w:r w:rsidRPr="00F678CC">
      <w:rPr>
        <w:sz w:val="20"/>
        <w:szCs w:val="20"/>
      </w:rPr>
      <w:t>1</w:t>
    </w:r>
    <w:r w:rsidRPr="00F678C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D79" w14:textId="77777777" w:rsidR="00F9470C" w:rsidRDefault="00F9470C" w:rsidP="00BD6CF5">
      <w:r>
        <w:separator/>
      </w:r>
    </w:p>
  </w:footnote>
  <w:footnote w:type="continuationSeparator" w:id="0">
    <w:p w14:paraId="506DE29C" w14:textId="77777777" w:rsidR="00F9470C" w:rsidRDefault="00F9470C" w:rsidP="00BD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EAC1" w14:textId="54B9E9A8" w:rsidR="00F678CC" w:rsidRDefault="00F678CC" w:rsidP="00F678CC">
    <w:pPr>
      <w:rPr>
        <w:rFonts w:ascii="Open Sans" w:hAnsi="Open Sans" w:cs="Open Sans"/>
        <w:b/>
        <w:color w:val="33006F"/>
      </w:rPr>
    </w:pPr>
    <w:r w:rsidRPr="00264E22">
      <w:rPr>
        <w:rFonts w:ascii="Open Sans" w:hAnsi="Open Sans" w:cs="Open Sans"/>
        <w:b/>
        <w:color w:val="33006F"/>
      </w:rPr>
      <w:t>UW Privacy Office</w:t>
    </w:r>
  </w:p>
  <w:p w14:paraId="1C60D943" w14:textId="77777777" w:rsidR="00F678CC" w:rsidRPr="00034593" w:rsidRDefault="00F678CC" w:rsidP="00F678CC">
    <w:pPr>
      <w:rPr>
        <w:rFonts w:ascii="Open Sans" w:hAnsi="Open Sans" w:cs="Open Sans"/>
        <w:b/>
        <w:bCs/>
        <w:color w:val="33006F"/>
      </w:rPr>
    </w:pPr>
    <w:r>
      <w:rPr>
        <w:rFonts w:ascii="Open Sans" w:hAnsi="Open Sans" w:cs="Open Sans"/>
        <w:b/>
        <w:bCs/>
        <w:color w:val="33006F"/>
      </w:rPr>
      <w:t xml:space="preserve">EU GDPR </w:t>
    </w:r>
    <w:r w:rsidRPr="00264E22">
      <w:rPr>
        <w:rFonts w:ascii="Open Sans" w:hAnsi="Open Sans" w:cs="Open Sans"/>
        <w:b/>
        <w:bCs/>
        <w:color w:val="33006F"/>
      </w:rPr>
      <w:t>Checklist</w:t>
    </w:r>
    <w:r>
      <w:rPr>
        <w:rFonts w:ascii="Open Sans" w:hAnsi="Open Sans" w:cs="Open Sans"/>
        <w:b/>
        <w:bCs/>
        <w:color w:val="33006F"/>
      </w:rPr>
      <w:t xml:space="preserve"> for </w:t>
    </w:r>
    <w:r w:rsidRPr="00264E22">
      <w:rPr>
        <w:rFonts w:ascii="Open Sans" w:hAnsi="Open Sans" w:cs="Open Sans"/>
        <w:b/>
        <w:color w:val="33006F"/>
      </w:rPr>
      <w:t>Third-party Controller-supplied Agreement</w:t>
    </w:r>
  </w:p>
  <w:p w14:paraId="36C8776C" w14:textId="7B45C03F" w:rsidR="00F678CC" w:rsidRPr="00F678CC" w:rsidRDefault="00F678CC" w:rsidP="00F678CC">
    <w:pPr>
      <w:rPr>
        <w:rFonts w:ascii="Open Sans" w:hAnsi="Open Sans" w:cs="Open Sans"/>
      </w:rPr>
    </w:pPr>
    <w:r w:rsidRPr="00264E22">
      <w:rPr>
        <w:rFonts w:ascii="Open Sans" w:hAnsi="Open Sans" w:cs="Open Sans"/>
        <w:noProof/>
      </w:rPr>
      <w:drawing>
        <wp:inline distT="0" distB="0" distL="0" distR="0" wp14:anchorId="06063C33" wp14:editId="38402235">
          <wp:extent cx="603036" cy="117690"/>
          <wp:effectExtent l="0" t="0" r="0" b="0"/>
          <wp:docPr id="37" name="Picture 37"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680087" cy="132727"/>
                  </a:xfrm>
                  <a:prstGeom prst="rect">
                    <a:avLst/>
                  </a:prstGeom>
                </pic:spPr>
              </pic:pic>
            </a:graphicData>
          </a:graphic>
        </wp:inline>
      </w:drawing>
    </w:r>
  </w:p>
  <w:p w14:paraId="3A1A5A00" w14:textId="3B252D3D" w:rsidR="008E68C9" w:rsidRPr="00F678CC" w:rsidRDefault="008E68C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E3FBA"/>
    <w:multiLevelType w:val="hybridMultilevel"/>
    <w:tmpl w:val="1EC60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5163E"/>
    <w:multiLevelType w:val="hybridMultilevel"/>
    <w:tmpl w:val="E02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D512A"/>
    <w:multiLevelType w:val="hybridMultilevel"/>
    <w:tmpl w:val="1DE679AA"/>
    <w:lvl w:ilvl="0" w:tplc="4A94A268">
      <w:start w:val="1"/>
      <w:numFmt w:val="upperLetter"/>
      <w:lvlText w:val="%1."/>
      <w:lvlJc w:val="left"/>
      <w:pPr>
        <w:ind w:left="360" w:hanging="360"/>
      </w:pPr>
      <w:rPr>
        <w:rFonts w:hint="default"/>
        <w:b/>
        <w:color w:val="33006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C153C0"/>
    <w:multiLevelType w:val="hybridMultilevel"/>
    <w:tmpl w:val="47501D9A"/>
    <w:lvl w:ilvl="0" w:tplc="155A9DE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F5"/>
    <w:rsid w:val="000133CF"/>
    <w:rsid w:val="000342CF"/>
    <w:rsid w:val="00034593"/>
    <w:rsid w:val="00053689"/>
    <w:rsid w:val="00056EFE"/>
    <w:rsid w:val="00264E22"/>
    <w:rsid w:val="00301FEA"/>
    <w:rsid w:val="003854A3"/>
    <w:rsid w:val="003A432F"/>
    <w:rsid w:val="003F0BE9"/>
    <w:rsid w:val="004F1724"/>
    <w:rsid w:val="005573CE"/>
    <w:rsid w:val="005630D0"/>
    <w:rsid w:val="00690CA9"/>
    <w:rsid w:val="00815F85"/>
    <w:rsid w:val="008E68C9"/>
    <w:rsid w:val="00902298"/>
    <w:rsid w:val="009C41E4"/>
    <w:rsid w:val="00A04CBD"/>
    <w:rsid w:val="00A5320A"/>
    <w:rsid w:val="00AF0B40"/>
    <w:rsid w:val="00BD6CF5"/>
    <w:rsid w:val="00C6315C"/>
    <w:rsid w:val="00E52B18"/>
    <w:rsid w:val="00F678CC"/>
    <w:rsid w:val="00F9470C"/>
    <w:rsid w:val="00FB7084"/>
    <w:rsid w:val="00FB7553"/>
    <w:rsid w:val="00FD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9AD7"/>
  <w14:defaultImageDpi w14:val="32767"/>
  <w15:chartTrackingRefBased/>
  <w15:docId w15:val="{9721F6E5-D710-6F4B-AC81-0E096454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6CF5"/>
    <w:rPr>
      <w:sz w:val="20"/>
      <w:szCs w:val="20"/>
    </w:rPr>
  </w:style>
  <w:style w:type="character" w:customStyle="1" w:styleId="FootnoteTextChar">
    <w:name w:val="Footnote Text Char"/>
    <w:basedOn w:val="DefaultParagraphFont"/>
    <w:link w:val="FootnoteText"/>
    <w:uiPriority w:val="99"/>
    <w:semiHidden/>
    <w:rsid w:val="00BD6CF5"/>
    <w:rPr>
      <w:sz w:val="20"/>
      <w:szCs w:val="20"/>
    </w:rPr>
  </w:style>
  <w:style w:type="character" w:styleId="FootnoteReference">
    <w:name w:val="footnote reference"/>
    <w:basedOn w:val="DefaultParagraphFont"/>
    <w:uiPriority w:val="99"/>
    <w:semiHidden/>
    <w:unhideWhenUsed/>
    <w:rsid w:val="00BD6CF5"/>
    <w:rPr>
      <w:vertAlign w:val="superscript"/>
    </w:rPr>
  </w:style>
  <w:style w:type="table" w:styleId="TableGrid">
    <w:name w:val="Table Grid"/>
    <w:basedOn w:val="TableNormal"/>
    <w:uiPriority w:val="39"/>
    <w:rsid w:val="00BD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D6CF5"/>
    <w:rPr>
      <w:sz w:val="20"/>
      <w:szCs w:val="20"/>
    </w:rPr>
  </w:style>
  <w:style w:type="character" w:customStyle="1" w:styleId="CommentTextChar">
    <w:name w:val="Comment Text Char"/>
    <w:basedOn w:val="DefaultParagraphFont"/>
    <w:link w:val="CommentText"/>
    <w:uiPriority w:val="99"/>
    <w:semiHidden/>
    <w:rsid w:val="00BD6CF5"/>
    <w:rPr>
      <w:sz w:val="20"/>
      <w:szCs w:val="20"/>
    </w:rPr>
  </w:style>
  <w:style w:type="paragraph" w:styleId="CommentSubject">
    <w:name w:val="annotation subject"/>
    <w:basedOn w:val="CommentText"/>
    <w:next w:val="CommentText"/>
    <w:link w:val="CommentSubjectChar"/>
    <w:uiPriority w:val="99"/>
    <w:semiHidden/>
    <w:unhideWhenUsed/>
    <w:rsid w:val="00BD6CF5"/>
    <w:rPr>
      <w:b/>
      <w:bCs/>
    </w:rPr>
  </w:style>
  <w:style w:type="character" w:customStyle="1" w:styleId="CommentSubjectChar">
    <w:name w:val="Comment Subject Char"/>
    <w:basedOn w:val="CommentTextChar"/>
    <w:link w:val="CommentSubject"/>
    <w:uiPriority w:val="99"/>
    <w:semiHidden/>
    <w:rsid w:val="00BD6CF5"/>
    <w:rPr>
      <w:b/>
      <w:bCs/>
      <w:sz w:val="20"/>
      <w:szCs w:val="20"/>
    </w:rPr>
  </w:style>
  <w:style w:type="character" w:styleId="Hyperlink">
    <w:name w:val="Hyperlink"/>
    <w:basedOn w:val="DefaultParagraphFont"/>
    <w:uiPriority w:val="99"/>
    <w:unhideWhenUsed/>
    <w:rsid w:val="00BD6CF5"/>
    <w:rPr>
      <w:color w:val="0000FF"/>
      <w:u w:val="single"/>
    </w:rPr>
  </w:style>
  <w:style w:type="paragraph" w:styleId="Header">
    <w:name w:val="header"/>
    <w:basedOn w:val="Normal"/>
    <w:link w:val="HeaderChar"/>
    <w:uiPriority w:val="99"/>
    <w:unhideWhenUsed/>
    <w:rsid w:val="008E68C9"/>
    <w:pPr>
      <w:tabs>
        <w:tab w:val="center" w:pos="4680"/>
        <w:tab w:val="right" w:pos="9360"/>
      </w:tabs>
    </w:pPr>
  </w:style>
  <w:style w:type="character" w:customStyle="1" w:styleId="HeaderChar">
    <w:name w:val="Header Char"/>
    <w:basedOn w:val="DefaultParagraphFont"/>
    <w:link w:val="Header"/>
    <w:uiPriority w:val="99"/>
    <w:rsid w:val="008E68C9"/>
  </w:style>
  <w:style w:type="paragraph" w:styleId="Footer">
    <w:name w:val="footer"/>
    <w:basedOn w:val="Normal"/>
    <w:link w:val="FooterChar"/>
    <w:uiPriority w:val="99"/>
    <w:unhideWhenUsed/>
    <w:rsid w:val="008E68C9"/>
    <w:pPr>
      <w:tabs>
        <w:tab w:val="center" w:pos="4680"/>
        <w:tab w:val="right" w:pos="9360"/>
      </w:tabs>
    </w:pPr>
  </w:style>
  <w:style w:type="character" w:customStyle="1" w:styleId="FooterChar">
    <w:name w:val="Footer Char"/>
    <w:basedOn w:val="DefaultParagraphFont"/>
    <w:link w:val="Footer"/>
    <w:uiPriority w:val="99"/>
    <w:rsid w:val="008E68C9"/>
  </w:style>
  <w:style w:type="paragraph" w:styleId="NormalWeb">
    <w:name w:val="Normal (Web)"/>
    <w:basedOn w:val="Normal"/>
    <w:uiPriority w:val="99"/>
    <w:semiHidden/>
    <w:unhideWhenUsed/>
    <w:rsid w:val="00034593"/>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034593"/>
    <w:pPr>
      <w:ind w:left="720"/>
      <w:contextualSpacing/>
    </w:pPr>
  </w:style>
  <w:style w:type="paragraph" w:styleId="BalloonText">
    <w:name w:val="Balloon Text"/>
    <w:basedOn w:val="Normal"/>
    <w:link w:val="BalloonTextChar"/>
    <w:uiPriority w:val="99"/>
    <w:semiHidden/>
    <w:unhideWhenUsed/>
    <w:rsid w:val="0003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CF"/>
    <w:rPr>
      <w:rFonts w:ascii="Segoe UI" w:hAnsi="Segoe UI" w:cs="Segoe UI"/>
      <w:sz w:val="18"/>
      <w:szCs w:val="18"/>
    </w:rPr>
  </w:style>
  <w:style w:type="character" w:styleId="CommentReference">
    <w:name w:val="annotation reference"/>
    <w:basedOn w:val="DefaultParagraphFont"/>
    <w:uiPriority w:val="99"/>
    <w:semiHidden/>
    <w:unhideWhenUsed/>
    <w:rsid w:val="000342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01f263d7f7f144bc905e5edda12fcf14">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2fd7c8f48b9d5c7e5fbb3bea312a669"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D9E6C-98D2-4A52-BFF5-DF94E6556F78}">
  <ds:schemaRefs>
    <ds:schemaRef ds:uri="http://schemas.microsoft.com/sharepoint/v3/contenttype/forms"/>
  </ds:schemaRefs>
</ds:datastoreItem>
</file>

<file path=customXml/itemProps2.xml><?xml version="1.0" encoding="utf-8"?>
<ds:datastoreItem xmlns:ds="http://schemas.openxmlformats.org/officeDocument/2006/customXml" ds:itemID="{A9AB9E3C-0E98-498A-96F6-B604C573472A}">
  <ds:schemaRefs>
    <ds:schemaRef ds:uri="http://schemas.microsoft.com/office/2006/metadata/properties"/>
    <ds:schemaRef ds:uri="http://schemas.microsoft.com/office/infopath/2007/PartnerControls"/>
    <ds:schemaRef ds:uri="2e1fad29-e0c3-4ba1-a4fa-8372c7d5db61"/>
  </ds:schemaRefs>
</ds:datastoreItem>
</file>

<file path=customXml/itemProps3.xml><?xml version="1.0" encoding="utf-8"?>
<ds:datastoreItem xmlns:ds="http://schemas.openxmlformats.org/officeDocument/2006/customXml" ds:itemID="{03A4B15B-7AAB-4001-8B88-B31FD1E7C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Privacy Office</dc:creator>
  <cp:keywords/>
  <dc:description/>
  <cp:lastModifiedBy>Kerry Kuenzi</cp:lastModifiedBy>
  <cp:revision>3</cp:revision>
  <dcterms:created xsi:type="dcterms:W3CDTF">2019-11-22T22:05:00Z</dcterms:created>
  <dcterms:modified xsi:type="dcterms:W3CDTF">2019-11-22T22:10:00Z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